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1F9D" w14:textId="77777777" w:rsidR="00A9061D" w:rsidRPr="008001D8" w:rsidRDefault="00A9061D" w:rsidP="00E77BD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</w:pPr>
    </w:p>
    <w:p w14:paraId="04B3D289" w14:textId="77777777" w:rsidR="00E77BDA" w:rsidRPr="008001D8" w:rsidRDefault="007F60AA" w:rsidP="00E77BDA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</w:pPr>
      <w:r w:rsidRPr="008001D8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>INFORMARE</w:t>
      </w:r>
    </w:p>
    <w:p w14:paraId="7AC34276" w14:textId="3B59F25E" w:rsidR="00DA14C7" w:rsidRPr="008001D8" w:rsidRDefault="000A6F41" w:rsidP="00E77BDA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</w:pPr>
      <w:r w:rsidRPr="008001D8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>30</w:t>
      </w:r>
      <w:r w:rsidR="00DA14C7" w:rsidRPr="008001D8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>.10.2020</w:t>
      </w:r>
    </w:p>
    <w:p w14:paraId="5987D038" w14:textId="77777777" w:rsidR="00DA14C7" w:rsidRPr="008001D8" w:rsidRDefault="00DA14C7" w:rsidP="00E77BDA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</w:pPr>
    </w:p>
    <w:p w14:paraId="598A64BA" w14:textId="3751DDDA" w:rsidR="00E224FD" w:rsidRPr="008001D8" w:rsidRDefault="00E224FD" w:rsidP="00E77B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71717" w:themeColor="background2" w:themeShade="1A"/>
          <w:sz w:val="32"/>
          <w:szCs w:val="32"/>
        </w:rPr>
      </w:pPr>
      <w:r w:rsidRPr="008001D8">
        <w:rPr>
          <w:rFonts w:asciiTheme="minorHAnsi" w:hAnsiTheme="minorHAnsi" w:cstheme="minorHAnsi"/>
          <w:b/>
          <w:bCs/>
          <w:color w:val="171717" w:themeColor="background2" w:themeShade="1A"/>
          <w:sz w:val="28"/>
          <w:szCs w:val="28"/>
        </w:rPr>
        <w:t>Timișoara 202</w:t>
      </w:r>
      <w:r w:rsidR="000A6F41" w:rsidRPr="008001D8">
        <w:rPr>
          <w:rFonts w:asciiTheme="minorHAnsi" w:hAnsiTheme="minorHAnsi" w:cstheme="minorHAnsi"/>
          <w:b/>
          <w:bCs/>
          <w:color w:val="171717" w:themeColor="background2" w:themeShade="1A"/>
          <w:sz w:val="28"/>
          <w:szCs w:val="28"/>
        </w:rPr>
        <w:t xml:space="preserve">1 devine oficial Timișoara </w:t>
      </w:r>
      <w:r w:rsidR="000A6F41" w:rsidRPr="008001D8">
        <w:rPr>
          <w:rFonts w:asciiTheme="minorHAnsi" w:hAnsiTheme="minorHAnsi" w:cstheme="minorHAnsi"/>
          <w:b/>
          <w:bCs/>
          <w:color w:val="171717" w:themeColor="background2" w:themeShade="1A"/>
          <w:sz w:val="32"/>
          <w:szCs w:val="32"/>
        </w:rPr>
        <w:t>2023</w:t>
      </w:r>
    </w:p>
    <w:p w14:paraId="2D470F6F" w14:textId="77777777" w:rsidR="007F60AA" w:rsidRPr="008001D8" w:rsidRDefault="007F60AA" w:rsidP="00E77BDA">
      <w:pPr>
        <w:spacing w:after="0" w:line="24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</w:p>
    <w:p w14:paraId="4F6A663B" w14:textId="25E60E64" w:rsidR="00935E20" w:rsidRPr="00A31621" w:rsidRDefault="00935E20" w:rsidP="00E77BDA">
      <w:pPr>
        <w:shd w:val="clear" w:color="auto" w:fill="FFFFFF"/>
        <w:spacing w:after="9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171717" w:themeColor="background2" w:themeShade="1A"/>
          <w:sz w:val="24"/>
          <w:szCs w:val="24"/>
        </w:rPr>
      </w:pPr>
      <w:r w:rsidRPr="00A31621">
        <w:rPr>
          <w:rFonts w:asciiTheme="minorHAnsi" w:eastAsia="Times New Roman" w:hAnsiTheme="minorHAnsi" w:cstheme="minorHAnsi"/>
          <w:b/>
          <w:bCs/>
          <w:color w:val="171717" w:themeColor="background2" w:themeShade="1A"/>
          <w:sz w:val="24"/>
          <w:szCs w:val="24"/>
        </w:rPr>
        <w:t>Parlamentul European a votat propunerea Comisiei Europene de a extinde anul exercitării titlului de Capitală Europeană a Culturii pentru Timișoara, în 2023.</w:t>
      </w:r>
    </w:p>
    <w:p w14:paraId="73E64B5B" w14:textId="49C7C6DC" w:rsidR="00935E20" w:rsidRPr="00A31621" w:rsidRDefault="00935E20" w:rsidP="00E77BDA">
      <w:pPr>
        <w:shd w:val="clear" w:color="auto" w:fill="FFFFFF"/>
        <w:spacing w:before="90" w:after="90" w:line="240" w:lineRule="auto"/>
        <w:ind w:firstLine="720"/>
        <w:jc w:val="both"/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</w:pP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Modific</w:t>
      </w:r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ă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rile </w:t>
      </w:r>
      <w:r w:rsidR="00E77BDA"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cu privire la anul desfășurării evenimentelor centrale din cadrul capitalelor culturale europene 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au survenit ca urmare a izbucnirii pa</w:t>
      </w:r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n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demiei cu noul Coronavirus și a condițiilor sanitare impuse, care împiedică desfășurarea evenimentelor culturale și artistice, dar și circulația persoanelor, în condițiile prevăzute ini</w:t>
      </w:r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ț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ial în programele culturale ale acestor orașe. </w:t>
      </w:r>
    </w:p>
    <w:p w14:paraId="4FDCE4FA" w14:textId="4439D107" w:rsidR="00935E20" w:rsidRPr="00A31621" w:rsidRDefault="00935E20" w:rsidP="00E77BDA">
      <w:pPr>
        <w:shd w:val="clear" w:color="auto" w:fill="FFFFFF"/>
        <w:spacing w:before="90" w:after="90" w:line="240" w:lineRule="auto"/>
        <w:ind w:firstLine="720"/>
        <w:jc w:val="both"/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</w:pP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An</w:t>
      </w:r>
      <w:r w:rsidR="00E77BDA"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ii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 celebrării Capitalelor Culturale Europene </w:t>
      </w:r>
      <w:r w:rsidR="00E77BDA"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vor fi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 decala</w:t>
      </w:r>
      <w:r w:rsidR="00E77BDA"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ți astfel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: pentru Novi Sad (Serbia) </w:t>
      </w:r>
      <w:r w:rsidR="00E77BDA"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din 2021 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în 2022, pentru Timișoara și Elefsina (Grecia) </w:t>
      </w:r>
      <w:r w:rsidR="008001D8"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din 2021 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în 2023, iar pentru cele două orașe Capitale Europene ale Culturii de anul acesta - Rijeka </w:t>
      </w:r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ș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i Galway - extinderea </w:t>
      </w:r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perioadei de 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exercit</w:t>
      </w:r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>are a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 titlului până in aprilie 2021.</w:t>
      </w:r>
    </w:p>
    <w:p w14:paraId="75F5FE9A" w14:textId="35C4A982" w:rsidR="000A6F41" w:rsidRPr="0045008F" w:rsidRDefault="00935E20" w:rsidP="008001D8">
      <w:pPr>
        <w:shd w:val="clear" w:color="auto" w:fill="FFFFFF"/>
        <w:spacing w:after="90" w:line="240" w:lineRule="auto"/>
        <w:ind w:firstLine="720"/>
        <w:jc w:val="both"/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</w:pP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„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Comisia CULT a Parlamentului European a votat propunerea Comisiei Europene de a </w:t>
      </w:r>
      <w:r w:rsidR="00B4619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am</w:t>
      </w:r>
      <w:r w:rsidR="00B46191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âna pentru 2023</w:t>
      </w:r>
      <w:r w:rsidR="00B4619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 </w:t>
      </w:r>
      <w:r w:rsidR="00B46191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exercitarea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 titlului de Capitală Europeană a Culturii pentru Timișoara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. </w:t>
      </w:r>
      <w:r w:rsidR="007F1E8D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Orașul</w:t>
      </w:r>
      <w:r w:rsidR="007F1E8D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 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va avea</w:t>
      </w:r>
      <w:r w:rsidR="00B4619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 încă 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doi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 ani 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să</w:t>
      </w:r>
      <w:r w:rsid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 implementeze o versiune recalibrată a programului c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u care a c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âș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tigat titlul 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ș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i va 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î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mp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ă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r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ț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i anul capitalei culturale - 2023 - cu Elefsina (Grecia) 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ș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i Veszpr</w:t>
      </w:r>
      <w:r w:rsidR="00B4619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é</w:t>
      </w:r>
      <w:r w:rsidR="000A6F41"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m (Ungaria)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</w:rPr>
        <w:t>”,</w:t>
      </w:r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</w:rPr>
        <w:t xml:space="preserve"> a declarat Simona Neumann, directorul executiv al Asociației Timișoara Capitală Europeană a Culturii.</w:t>
      </w:r>
    </w:p>
    <w:p w14:paraId="6364139B" w14:textId="2B5FDFC7" w:rsidR="00A31621" w:rsidRDefault="00935E20" w:rsidP="008001D8">
      <w:pPr>
        <w:shd w:val="clear" w:color="auto" w:fill="FFFFFF"/>
        <w:spacing w:after="90" w:line="240" w:lineRule="auto"/>
        <w:ind w:firstLine="720"/>
        <w:jc w:val="both"/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</w:pP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acest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context,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reprezentanții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Asociației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Timișoara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Capitală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Europeană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a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Culturii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au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avut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deja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joi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29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octombrie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o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primă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întâlnire</w:t>
      </w:r>
      <w:proofErr w:type="spellEnd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lucru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virtuală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cu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partenerii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de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implementare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a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programelor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culturale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cuprinse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</w:t>
      </w:r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osarul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candidatură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cu care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Timișoara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a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câștigat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titlul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Capitală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Europeană</w:t>
      </w:r>
      <w:proofErr w:type="spellEnd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a </w:t>
      </w:r>
      <w:proofErr w:type="spellStart"/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Culturii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2016</w:t>
      </w:r>
      <w:r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.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Scopul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acestei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prime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întâlniri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a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fost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acela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a face un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bilanț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etapă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al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proiectului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și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a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prezenta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principiil</w:t>
      </w:r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e</w:t>
      </w:r>
      <w:proofErr w:type="spellEnd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și</w:t>
      </w:r>
      <w:proofErr w:type="spellEnd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modul</w:t>
      </w:r>
      <w:proofErr w:type="spellEnd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lucru</w:t>
      </w:r>
      <w:proofErr w:type="spellEnd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pentru</w:t>
      </w:r>
      <w:proofErr w:type="spellEnd"/>
      <w:r w:rsidR="00E77BDA" w:rsidRPr="008001D8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recalibrarea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Programului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Cultural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perspectiva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anului</w:t>
      </w:r>
      <w:proofErr w:type="spellEnd"/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202</w:t>
      </w:r>
      <w:r w:rsidR="00D94FE7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3</w:t>
      </w:r>
      <w:r w:rsid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. </w:t>
      </w:r>
    </w:p>
    <w:p w14:paraId="05ECB6C5" w14:textId="637E506A" w:rsidR="00A31621" w:rsidRDefault="00A31621" w:rsidP="008001D8">
      <w:pPr>
        <w:shd w:val="clear" w:color="auto" w:fill="FFFFFF"/>
        <w:spacing w:after="90" w:line="240" w:lineRule="auto"/>
        <w:ind w:firstLine="720"/>
        <w:jc w:val="both"/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</w:pP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Astfel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ncepând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luna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noiembrie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vor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avea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loc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întâlniri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individuale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partenerii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in</w:t>
      </w:r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dicaț</w:t>
      </w:r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drept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gazde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Dosarul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candidatură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dar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și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operatorii</w:t>
      </w:r>
      <w:proofErr w:type="spellEnd"/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culturali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care au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implementat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cu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succes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proiecte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urma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apelului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deschis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r w:rsidRPr="0045008F">
        <w:rPr>
          <w:rFonts w:asciiTheme="minorHAnsi" w:eastAsia="Times New Roman" w:hAnsiTheme="minorHAnsi" w:cstheme="minorHAnsi"/>
          <w:i/>
          <w:iCs/>
          <w:color w:val="171717" w:themeColor="background2" w:themeShade="1A"/>
          <w:sz w:val="24"/>
          <w:szCs w:val="24"/>
          <w:lang w:val="en-US"/>
        </w:rPr>
        <w:t>Searchlight</w:t>
      </w:r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organizat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Asociație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anul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2019. </w:t>
      </w:r>
    </w:p>
    <w:p w14:paraId="0403401F" w14:textId="3EF65767" w:rsidR="00A31621" w:rsidRPr="0045008F" w:rsidRDefault="00A31621" w:rsidP="008001D8">
      <w:pPr>
        <w:shd w:val="clear" w:color="auto" w:fill="FFFFFF"/>
        <w:spacing w:after="90" w:line="240" w:lineRule="auto"/>
        <w:ind w:firstLine="720"/>
        <w:jc w:val="both"/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it-IT"/>
        </w:rPr>
      </w:pP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Procesul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de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recalibrare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va</w:t>
      </w:r>
      <w:proofErr w:type="spellEnd"/>
      <w:r w:rsidRPr="00A3162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continua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în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prima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parte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gram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</w:t>
      </w:r>
      <w:proofErr w:type="gram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anului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următor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când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se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va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organiza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un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nou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apel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la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idei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proiecte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care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să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consolideze</w:t>
      </w:r>
      <w:proofErr w:type="spellEnd"/>
      <w:r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Programul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Cultural.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Prin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acest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apel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 w:rsidR="00B46191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Asociația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își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propune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să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atragă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pe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bază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concurențială</w:t>
      </w:r>
      <w:proofErr w:type="spellEnd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</w:t>
      </w:r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dei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noi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proiecte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atât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la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operatori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culturali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din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Timișoara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,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cât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și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de pe plan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național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și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 </w:t>
      </w:r>
      <w:proofErr w:type="spellStart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>internațional</w:t>
      </w:r>
      <w:proofErr w:type="spellEnd"/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en-US"/>
        </w:rPr>
        <w:t xml:space="preserve">. </w:t>
      </w:r>
      <w:r w:rsidR="00B40D12"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it-IT"/>
        </w:rPr>
        <w:t>Se estimează c</w:t>
      </w:r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it-IT"/>
        </w:rPr>
        <w:t xml:space="preserve">ă </w:t>
      </w:r>
      <w:r w:rsidR="00B40D12"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it-IT"/>
        </w:rPr>
        <w:t xml:space="preserve">Programul Cultural recalibrat </w:t>
      </w:r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it-IT"/>
        </w:rPr>
        <w:t>va fi</w:t>
      </w:r>
      <w:r w:rsidR="00B40D12" w:rsidRPr="0045008F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it-IT"/>
        </w:rPr>
        <w:t xml:space="preserve"> publicat în </w:t>
      </w:r>
      <w:r w:rsidR="00B40D12">
        <w:rPr>
          <w:rFonts w:asciiTheme="minorHAnsi" w:eastAsia="Times New Roman" w:hAnsiTheme="minorHAnsi" w:cstheme="minorHAnsi"/>
          <w:color w:val="171717" w:themeColor="background2" w:themeShade="1A"/>
          <w:sz w:val="24"/>
          <w:szCs w:val="24"/>
          <w:lang w:val="it-IT"/>
        </w:rPr>
        <w:t xml:space="preserve">perioada mai-iunie 2021. </w:t>
      </w:r>
    </w:p>
    <w:p w14:paraId="5C454F4F" w14:textId="77777777" w:rsidR="00DA14C7" w:rsidRPr="008001D8" w:rsidRDefault="00DA14C7" w:rsidP="00E77BDA">
      <w:pPr>
        <w:spacing w:after="0" w:line="240" w:lineRule="auto"/>
        <w:jc w:val="both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</w:p>
    <w:p w14:paraId="072D2A4A" w14:textId="012AA1B6" w:rsidR="007E40FE" w:rsidRPr="008001D8" w:rsidRDefault="007F60AA" w:rsidP="00E77BDA">
      <w:pPr>
        <w:spacing w:after="0" w:line="24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8001D8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>Asociația Timișoara 2021 – Capitală Euro</w:t>
      </w:r>
      <w:r w:rsidR="00571DDF" w:rsidRPr="008001D8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>peană</w:t>
      </w:r>
      <w:r w:rsidRPr="008001D8">
        <w:rPr>
          <w:rFonts w:asciiTheme="minorHAnsi" w:hAnsiTheme="minorHAnsi" w:cstheme="minorHAnsi"/>
          <w:b/>
          <w:bCs/>
          <w:color w:val="171717" w:themeColor="background2" w:themeShade="1A"/>
          <w:sz w:val="24"/>
          <w:szCs w:val="24"/>
        </w:rPr>
        <w:t xml:space="preserve"> a Culturii</w:t>
      </w:r>
    </w:p>
    <w:sectPr w:rsidR="007E40FE" w:rsidRPr="008001D8" w:rsidSect="0013093D">
      <w:headerReference w:type="default" r:id="rId8"/>
      <w:footerReference w:type="default" r:id="rId9"/>
      <w:type w:val="continuous"/>
      <w:pgSz w:w="11910" w:h="16840"/>
      <w:pgMar w:top="1417" w:right="1417" w:bottom="1417" w:left="1417" w:header="720" w:footer="13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51C5" w14:textId="77777777" w:rsidR="000867CD" w:rsidRDefault="000867CD" w:rsidP="008362E0">
      <w:r>
        <w:separator/>
      </w:r>
    </w:p>
  </w:endnote>
  <w:endnote w:type="continuationSeparator" w:id="0">
    <w:p w14:paraId="4CB0644D" w14:textId="77777777" w:rsidR="000867CD" w:rsidRDefault="000867CD" w:rsidP="0083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3CED" w14:textId="53610528" w:rsidR="008362E0" w:rsidRDefault="00DA14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4C5B37" wp14:editId="6159F6E1">
              <wp:simplePos x="0" y="0"/>
              <wp:positionH relativeFrom="page">
                <wp:posOffset>897890</wp:posOffset>
              </wp:positionH>
              <wp:positionV relativeFrom="page">
                <wp:posOffset>9879330</wp:posOffset>
              </wp:positionV>
              <wp:extent cx="5753100" cy="3378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41D87" w14:textId="77777777" w:rsidR="008362E0" w:rsidRDefault="008362E0" w:rsidP="00D47C71">
                          <w:pPr>
                            <w:spacing w:before="14"/>
                            <w:ind w:left="20"/>
                            <w:jc w:val="center"/>
                            <w:rPr>
                              <w:rFonts w:ascii="MuseoSans-700" w:hAnsi="MuseoSans-700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Asociația Timișoara 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2021 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>Capitală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 a Culturii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</w:t>
                          </w:r>
                        </w:p>
                        <w:p w14:paraId="0BFDA800" w14:textId="77777777" w:rsidR="008362E0" w:rsidRDefault="000867CD" w:rsidP="00D47C71">
                          <w:pPr>
                            <w:pStyle w:val="BodyText"/>
                            <w:jc w:val="center"/>
                          </w:pPr>
                          <w:hyperlink r:id="rId1">
                            <w:r w:rsidR="008362E0">
                              <w:rPr>
                                <w:color w:val="231F20"/>
                              </w:rPr>
                              <w:t>contact@timisoara2021.ro</w:t>
                            </w:r>
                          </w:hyperlink>
                          <w:r w:rsidR="008362E0">
                            <w:rPr>
                              <w:color w:val="231F20"/>
                            </w:rPr>
                            <w:t xml:space="preserve"> · </w:t>
                          </w:r>
                          <w:hyperlink r:id="rId2">
                            <w:r w:rsidR="008362E0">
                              <w:rPr>
                                <w:color w:val="231F20"/>
                              </w:rPr>
                              <w:t>www.timisoara2021.ro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5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77.9pt;width:453pt;height:26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" filled="f" stroked="f">
              <v:textbox inset="0,0,0,0">
                <w:txbxContent>
                  <w:p w14:paraId="4E541D87" w14:textId="77777777" w:rsidR="008362E0" w:rsidRDefault="008362E0" w:rsidP="00D47C71">
                    <w:pPr>
                      <w:spacing w:before="14"/>
                      <w:ind w:left="20"/>
                      <w:jc w:val="center"/>
                      <w:rPr>
                        <w:rFonts w:ascii="MuseoSans-700" w:hAnsi="MuseoSans-700"/>
                        <w:b/>
                        <w:sz w:val="14"/>
                      </w:rPr>
                    </w:pP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Asociația Timișoara 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2021 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>Capitală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 a Culturii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</w:t>
                    </w:r>
                  </w:p>
                  <w:p w14:paraId="0BFDA800" w14:textId="77777777" w:rsidR="008362E0" w:rsidRDefault="00443125" w:rsidP="00D47C71">
                    <w:pPr>
                      <w:pStyle w:val="BodyText"/>
                      <w:jc w:val="center"/>
                    </w:pPr>
                    <w:hyperlink r:id="rId3">
                      <w:r w:rsidR="008362E0">
                        <w:rPr>
                          <w:color w:val="231F20"/>
                        </w:rPr>
                        <w:t>contact@timisoara2021.ro</w:t>
                      </w:r>
                    </w:hyperlink>
                    <w:r w:rsidR="008362E0">
                      <w:rPr>
                        <w:color w:val="231F20"/>
                      </w:rPr>
                      <w:t xml:space="preserve"> · </w:t>
                    </w:r>
                    <w:hyperlink r:id="rId4">
                      <w:r w:rsidR="008362E0">
                        <w:rPr>
                          <w:color w:val="231F20"/>
                        </w:rPr>
                        <w:t>www.timisoara2021.ro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B137" w14:textId="77777777" w:rsidR="000867CD" w:rsidRDefault="000867CD" w:rsidP="008362E0">
      <w:r>
        <w:separator/>
      </w:r>
    </w:p>
  </w:footnote>
  <w:footnote w:type="continuationSeparator" w:id="0">
    <w:p w14:paraId="3A687784" w14:textId="77777777" w:rsidR="000867CD" w:rsidRDefault="000867CD" w:rsidP="0083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0C3B" w14:textId="38732C4F" w:rsidR="008362E0" w:rsidRDefault="00DA14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BCDC70" wp14:editId="385538DC">
          <wp:simplePos x="0" y="0"/>
          <wp:positionH relativeFrom="margin">
            <wp:posOffset>4732020</wp:posOffset>
          </wp:positionH>
          <wp:positionV relativeFrom="margin">
            <wp:posOffset>-657225</wp:posOffset>
          </wp:positionV>
          <wp:extent cx="1019175" cy="6572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06192E0" wp14:editId="444EBCCC">
          <wp:simplePos x="0" y="0"/>
          <wp:positionH relativeFrom="margin">
            <wp:posOffset>0</wp:posOffset>
          </wp:positionH>
          <wp:positionV relativeFrom="margin">
            <wp:posOffset>-737870</wp:posOffset>
          </wp:positionV>
          <wp:extent cx="108585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4" t="22768" r="14011" b="2469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E65">
      <w:rPr>
        <w:noProof/>
        <w:lang w:eastAsia="ro-RO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3AB"/>
    <w:multiLevelType w:val="hybridMultilevel"/>
    <w:tmpl w:val="C8B698FC"/>
    <w:lvl w:ilvl="0" w:tplc="9F0C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8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E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A4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8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C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4734F4"/>
    <w:multiLevelType w:val="hybridMultilevel"/>
    <w:tmpl w:val="F41C99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D12"/>
    <w:multiLevelType w:val="hybridMultilevel"/>
    <w:tmpl w:val="F1167E70"/>
    <w:lvl w:ilvl="0" w:tplc="0E0E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8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6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C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07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2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E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8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E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210B68"/>
    <w:multiLevelType w:val="hybridMultilevel"/>
    <w:tmpl w:val="0B42335C"/>
    <w:lvl w:ilvl="0" w:tplc="9F0C1F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5C52"/>
    <w:multiLevelType w:val="hybridMultilevel"/>
    <w:tmpl w:val="CE948CF4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7D1C03"/>
    <w:multiLevelType w:val="hybridMultilevel"/>
    <w:tmpl w:val="D11EF2A8"/>
    <w:lvl w:ilvl="0" w:tplc="AC4208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CE3"/>
    <w:multiLevelType w:val="multilevel"/>
    <w:tmpl w:val="C9D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85278E"/>
    <w:multiLevelType w:val="hybridMultilevel"/>
    <w:tmpl w:val="62EC7B58"/>
    <w:lvl w:ilvl="0" w:tplc="7FCA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A2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E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4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E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8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305DEC"/>
    <w:multiLevelType w:val="hybridMultilevel"/>
    <w:tmpl w:val="B1BCEF20"/>
    <w:lvl w:ilvl="0" w:tplc="F29E1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8F0E99"/>
    <w:multiLevelType w:val="hybridMultilevel"/>
    <w:tmpl w:val="A886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AF"/>
    <w:rsid w:val="00023078"/>
    <w:rsid w:val="00053482"/>
    <w:rsid w:val="000823D8"/>
    <w:rsid w:val="000867CD"/>
    <w:rsid w:val="000A0684"/>
    <w:rsid w:val="000A6F41"/>
    <w:rsid w:val="000B2647"/>
    <w:rsid w:val="000B4120"/>
    <w:rsid w:val="000C026E"/>
    <w:rsid w:val="0011693F"/>
    <w:rsid w:val="0013093D"/>
    <w:rsid w:val="00135181"/>
    <w:rsid w:val="00136EE6"/>
    <w:rsid w:val="00153DCE"/>
    <w:rsid w:val="001676AD"/>
    <w:rsid w:val="00181142"/>
    <w:rsid w:val="001847C4"/>
    <w:rsid w:val="00187DA8"/>
    <w:rsid w:val="0019099C"/>
    <w:rsid w:val="00190A4F"/>
    <w:rsid w:val="001D64E8"/>
    <w:rsid w:val="001E2DE5"/>
    <w:rsid w:val="001E6CEF"/>
    <w:rsid w:val="001E7876"/>
    <w:rsid w:val="002070F7"/>
    <w:rsid w:val="00211D6B"/>
    <w:rsid w:val="0022391B"/>
    <w:rsid w:val="00256574"/>
    <w:rsid w:val="00286FF4"/>
    <w:rsid w:val="002971C9"/>
    <w:rsid w:val="002A41E0"/>
    <w:rsid w:val="002C69C9"/>
    <w:rsid w:val="002E1D61"/>
    <w:rsid w:val="00317144"/>
    <w:rsid w:val="00325558"/>
    <w:rsid w:val="003575EA"/>
    <w:rsid w:val="003A782B"/>
    <w:rsid w:val="003B53F0"/>
    <w:rsid w:val="003F4790"/>
    <w:rsid w:val="004253AF"/>
    <w:rsid w:val="00443125"/>
    <w:rsid w:val="00445950"/>
    <w:rsid w:val="004460BB"/>
    <w:rsid w:val="0045008F"/>
    <w:rsid w:val="0046302E"/>
    <w:rsid w:val="00475A2F"/>
    <w:rsid w:val="00477E2E"/>
    <w:rsid w:val="004A6794"/>
    <w:rsid w:val="004B4E2D"/>
    <w:rsid w:val="004E1E91"/>
    <w:rsid w:val="004F7A03"/>
    <w:rsid w:val="00532088"/>
    <w:rsid w:val="005371F1"/>
    <w:rsid w:val="00571DDF"/>
    <w:rsid w:val="005A7715"/>
    <w:rsid w:val="005B2341"/>
    <w:rsid w:val="005B6A57"/>
    <w:rsid w:val="005D11B9"/>
    <w:rsid w:val="005D337C"/>
    <w:rsid w:val="005D7696"/>
    <w:rsid w:val="005E01BB"/>
    <w:rsid w:val="005E54E9"/>
    <w:rsid w:val="006344DF"/>
    <w:rsid w:val="00640506"/>
    <w:rsid w:val="006470ED"/>
    <w:rsid w:val="00673DE0"/>
    <w:rsid w:val="00682012"/>
    <w:rsid w:val="006868EE"/>
    <w:rsid w:val="0068763B"/>
    <w:rsid w:val="006A6E12"/>
    <w:rsid w:val="0071486C"/>
    <w:rsid w:val="00720617"/>
    <w:rsid w:val="007465C7"/>
    <w:rsid w:val="007607AD"/>
    <w:rsid w:val="007C0D68"/>
    <w:rsid w:val="007E05E1"/>
    <w:rsid w:val="007E40FE"/>
    <w:rsid w:val="007F1E8D"/>
    <w:rsid w:val="007F280E"/>
    <w:rsid w:val="007F60AA"/>
    <w:rsid w:val="007F6A30"/>
    <w:rsid w:val="008001D8"/>
    <w:rsid w:val="00814B12"/>
    <w:rsid w:val="0082768C"/>
    <w:rsid w:val="008362E0"/>
    <w:rsid w:val="00852565"/>
    <w:rsid w:val="00855F49"/>
    <w:rsid w:val="00871DB6"/>
    <w:rsid w:val="00891362"/>
    <w:rsid w:val="00896DD7"/>
    <w:rsid w:val="009135E8"/>
    <w:rsid w:val="00935E20"/>
    <w:rsid w:val="009452FF"/>
    <w:rsid w:val="009561E3"/>
    <w:rsid w:val="009743C1"/>
    <w:rsid w:val="0098060D"/>
    <w:rsid w:val="009A6454"/>
    <w:rsid w:val="009A6D40"/>
    <w:rsid w:val="009B60D4"/>
    <w:rsid w:val="009C22E5"/>
    <w:rsid w:val="009C7BD3"/>
    <w:rsid w:val="009E2EC2"/>
    <w:rsid w:val="009F38EF"/>
    <w:rsid w:val="00A03BDA"/>
    <w:rsid w:val="00A07448"/>
    <w:rsid w:val="00A1219D"/>
    <w:rsid w:val="00A31621"/>
    <w:rsid w:val="00A35F93"/>
    <w:rsid w:val="00A5270B"/>
    <w:rsid w:val="00A86EEE"/>
    <w:rsid w:val="00A87956"/>
    <w:rsid w:val="00A9061D"/>
    <w:rsid w:val="00AA7EE1"/>
    <w:rsid w:val="00AC4413"/>
    <w:rsid w:val="00AE7374"/>
    <w:rsid w:val="00AF27A9"/>
    <w:rsid w:val="00B0231A"/>
    <w:rsid w:val="00B0739D"/>
    <w:rsid w:val="00B1391B"/>
    <w:rsid w:val="00B233E1"/>
    <w:rsid w:val="00B25913"/>
    <w:rsid w:val="00B40D12"/>
    <w:rsid w:val="00B46191"/>
    <w:rsid w:val="00B57BA0"/>
    <w:rsid w:val="00B73D20"/>
    <w:rsid w:val="00C24178"/>
    <w:rsid w:val="00C2437D"/>
    <w:rsid w:val="00C33010"/>
    <w:rsid w:val="00C41729"/>
    <w:rsid w:val="00C46223"/>
    <w:rsid w:val="00C54BCE"/>
    <w:rsid w:val="00C645B5"/>
    <w:rsid w:val="00C72D3A"/>
    <w:rsid w:val="00C74981"/>
    <w:rsid w:val="00C771D2"/>
    <w:rsid w:val="00C92B3C"/>
    <w:rsid w:val="00CA1567"/>
    <w:rsid w:val="00CA43C4"/>
    <w:rsid w:val="00CB44C9"/>
    <w:rsid w:val="00CB49F3"/>
    <w:rsid w:val="00CC5240"/>
    <w:rsid w:val="00CD1644"/>
    <w:rsid w:val="00CD3743"/>
    <w:rsid w:val="00CD547B"/>
    <w:rsid w:val="00CD744C"/>
    <w:rsid w:val="00CE2C55"/>
    <w:rsid w:val="00CF227F"/>
    <w:rsid w:val="00CF5BA1"/>
    <w:rsid w:val="00D042C4"/>
    <w:rsid w:val="00D241D6"/>
    <w:rsid w:val="00D47C71"/>
    <w:rsid w:val="00D66523"/>
    <w:rsid w:val="00D92BF0"/>
    <w:rsid w:val="00D94FE7"/>
    <w:rsid w:val="00DA14C7"/>
    <w:rsid w:val="00DA5F96"/>
    <w:rsid w:val="00DD3DA9"/>
    <w:rsid w:val="00DD7477"/>
    <w:rsid w:val="00DF5BE1"/>
    <w:rsid w:val="00DF5E59"/>
    <w:rsid w:val="00E12567"/>
    <w:rsid w:val="00E134FD"/>
    <w:rsid w:val="00E224FD"/>
    <w:rsid w:val="00E326CB"/>
    <w:rsid w:val="00E41835"/>
    <w:rsid w:val="00E42BEF"/>
    <w:rsid w:val="00E77BDA"/>
    <w:rsid w:val="00E811A3"/>
    <w:rsid w:val="00EA1542"/>
    <w:rsid w:val="00EA5475"/>
    <w:rsid w:val="00EB2F16"/>
    <w:rsid w:val="00EE62DC"/>
    <w:rsid w:val="00EF3936"/>
    <w:rsid w:val="00EF6A2D"/>
    <w:rsid w:val="00F034C6"/>
    <w:rsid w:val="00F05E65"/>
    <w:rsid w:val="00F170EF"/>
    <w:rsid w:val="00F25FA2"/>
    <w:rsid w:val="00F45CF5"/>
    <w:rsid w:val="00F469F7"/>
    <w:rsid w:val="00F645FC"/>
    <w:rsid w:val="00F713DD"/>
    <w:rsid w:val="00F8444B"/>
    <w:rsid w:val="00F965E2"/>
    <w:rsid w:val="00FA0B96"/>
    <w:rsid w:val="00FA250A"/>
    <w:rsid w:val="00FE5C93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9B505"/>
  <w15:chartTrackingRefBased/>
  <w15:docId w15:val="{9C7E7A70-9F79-4F18-BD8D-4170FC8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E0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37D"/>
    <w:pPr>
      <w:ind w:left="20" w:right="-1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C2437D"/>
  </w:style>
  <w:style w:type="paragraph" w:customStyle="1" w:styleId="TableParagraph">
    <w:name w:val="Table Paragraph"/>
    <w:basedOn w:val="Normal"/>
    <w:uiPriority w:val="1"/>
    <w:qFormat/>
    <w:rsid w:val="00C2437D"/>
  </w:style>
  <w:style w:type="paragraph" w:styleId="Header">
    <w:name w:val="header"/>
    <w:basedOn w:val="Normal"/>
    <w:link w:val="Head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2E0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2E0"/>
    <w:rPr>
      <w:rFonts w:ascii="MuseoSans-300" w:eastAsia="MuseoSans-300" w:hAnsi="MuseoSans-300" w:cs="MuseoSans-300"/>
    </w:rPr>
  </w:style>
  <w:style w:type="character" w:customStyle="1" w:styleId="BodyTextChar">
    <w:name w:val="Body Text Char"/>
    <w:link w:val="BodyText"/>
    <w:uiPriority w:val="1"/>
    <w:rsid w:val="008362E0"/>
    <w:rPr>
      <w:rFonts w:ascii="MuseoSans-300" w:eastAsia="MuseoSans-300" w:hAnsi="MuseoSans-300" w:cs="MuseoSans-3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DE0"/>
    <w:rPr>
      <w:rFonts w:ascii="Tahoma" w:eastAsia="MuseoSans-300" w:hAnsi="Tahoma" w:cs="Tahoma"/>
      <w:sz w:val="16"/>
      <w:szCs w:val="16"/>
    </w:rPr>
  </w:style>
  <w:style w:type="paragraph" w:customStyle="1" w:styleId="yiv4391447824gmail-msolistparagraph">
    <w:name w:val="yiv4391447824gmail-msolistparagraph"/>
    <w:basedOn w:val="Normal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C7BD3"/>
  </w:style>
  <w:style w:type="character" w:styleId="Hyperlink">
    <w:name w:val="Hyperlink"/>
    <w:uiPriority w:val="99"/>
    <w:unhideWhenUsed/>
    <w:rsid w:val="005B23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234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F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0B2647"/>
  </w:style>
  <w:style w:type="character" w:customStyle="1" w:styleId="apple-tab-span">
    <w:name w:val="apple-tab-span"/>
    <w:rsid w:val="000B2647"/>
  </w:style>
  <w:style w:type="paragraph" w:styleId="NormalWeb">
    <w:name w:val="Normal (Web)"/>
    <w:basedOn w:val="Normal"/>
    <w:uiPriority w:val="99"/>
    <w:unhideWhenUsed/>
    <w:rsid w:val="007E4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8cl">
    <w:name w:val="_58cl"/>
    <w:rsid w:val="007E40FE"/>
  </w:style>
  <w:style w:type="character" w:customStyle="1" w:styleId="58cm">
    <w:name w:val="_58cm"/>
    <w:rsid w:val="007E40FE"/>
  </w:style>
  <w:style w:type="character" w:customStyle="1" w:styleId="textexposedshow">
    <w:name w:val="text_exposed_show"/>
    <w:rsid w:val="007E40FE"/>
  </w:style>
  <w:style w:type="character" w:styleId="Strong">
    <w:name w:val="Strong"/>
    <w:uiPriority w:val="22"/>
    <w:qFormat/>
    <w:rsid w:val="00DF5B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6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91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91"/>
    <w:rPr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329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610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47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88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6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imisoara2021.ro" TargetMode="External"/><Relationship Id="rId2" Type="http://schemas.openxmlformats.org/officeDocument/2006/relationships/hyperlink" Target="http://www.timisoara2021.ro/" TargetMode="External"/><Relationship Id="rId1" Type="http://schemas.openxmlformats.org/officeDocument/2006/relationships/hyperlink" Target="mailto:contact@timisoara2021.ro" TargetMode="External"/><Relationship Id="rId4" Type="http://schemas.openxmlformats.org/officeDocument/2006/relationships/hyperlink" Target="http://www.timisoara2021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Pintilie\Downloads\antet-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334AC-2733-4F61-A08D-2E9609A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antet-RO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24" baseType="variant"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https://www.facebook.com/MostMusicEu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https://mostmusic.eu/</vt:lpwstr>
      </vt:variant>
      <vt:variant>
        <vt:lpwstr/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http://www.timisoara2021.ro/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mailto:contact@timisoara2021.ro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Pintilie</dc:creator>
  <cp:keywords/>
  <cp:lastModifiedBy>HP</cp:lastModifiedBy>
  <cp:revision>2</cp:revision>
  <cp:lastPrinted>2019-07-16T12:31:00Z</cp:lastPrinted>
  <dcterms:created xsi:type="dcterms:W3CDTF">2020-10-30T07:03:00Z</dcterms:created>
  <dcterms:modified xsi:type="dcterms:W3CDTF">2020-10-30T07:03:00Z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2016-11-10T00:00:00Z</vt:filetime>
  </property>
</Properties>
</file>